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wzvnm2w8nxyq"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leader="none" w:pos="993"/>
        </w:tabs>
        <w:spacing w:after="240" w:line="240" w:lineRule="auto"/>
        <w:ind w:left="792" w:hanging="432"/>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8918.0" w:type="dxa"/>
        <w:jc w:val="left"/>
        <w:tblInd w:w="-6.0" w:type="dxa"/>
        <w:tblLayout w:type="fixed"/>
        <w:tblLook w:val="0000"/>
      </w:tblPr>
      <w:tblGrid>
        <w:gridCol w:w="2416"/>
        <w:gridCol w:w="6502"/>
        <w:tblGridChange w:id="0">
          <w:tblGrid>
            <w:gridCol w:w="2416"/>
            <w:gridCol w:w="6502"/>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numPr>
                <w:ilvl w:val="0"/>
                <w:numId w:val="2"/>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numPr>
                <w:ilvl w:val="0"/>
                <w:numId w:val="2"/>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numPr>
                <w:ilvl w:val="0"/>
                <w:numId w:val="8"/>
              </w:numPr>
              <w:pBdr>
                <w:top w:space="0" w:sz="0" w:val="nil"/>
                <w:left w:space="0" w:sz="0" w:val="nil"/>
                <w:bottom w:space="0" w:sz="0" w:val="nil"/>
                <w:right w:space="0" w:sz="0" w:val="nil"/>
                <w:between w:space="0" w:sz="0" w:val="nil"/>
              </w:pBdr>
              <w:tabs>
                <w:tab w:val="left" w:leader="none" w:pos="-75"/>
              </w:tabs>
              <w:spacing w:after="0" w:line="240" w:lineRule="auto"/>
              <w:ind w:left="405"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40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A">
            <w:pPr>
              <w:numPr>
                <w:ilvl w:val="0"/>
                <w:numId w:val="8"/>
              </w:numPr>
              <w:pBdr>
                <w:top w:space="0" w:sz="0" w:val="nil"/>
                <w:left w:space="0" w:sz="0" w:val="nil"/>
                <w:bottom w:space="0" w:sz="0" w:val="nil"/>
                <w:right w:space="0" w:sz="0" w:val="nil"/>
                <w:between w:space="0" w:sz="0" w:val="nil"/>
              </w:pBdr>
              <w:spacing w:after="240" w:line="240" w:lineRule="auto"/>
              <w:ind w:left="405"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blh2cm3302zk"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pStyle w:val="Heading2"/>
        <w:keepNext w:val="0"/>
        <w:keepLines w:val="0"/>
        <w:numPr>
          <w:ilvl w:val="1"/>
          <w:numId w:val="1"/>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pStyle w:val="Heading2"/>
        <w:keepNext w:val="0"/>
        <w:keepLines w:val="0"/>
        <w:numPr>
          <w:ilvl w:val="2"/>
          <w:numId w:val="1"/>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pStyle w:val="Heading2"/>
        <w:keepNext w:val="0"/>
        <w:keepLines w:val="0"/>
        <w:numPr>
          <w:ilvl w:val="2"/>
          <w:numId w:val="1"/>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7">
      <w:pPr>
        <w:pStyle w:val="Heading2"/>
        <w:keepNext w:val="0"/>
        <w:keepLines w:val="0"/>
        <w:numPr>
          <w:ilvl w:val="1"/>
          <w:numId w:val="1"/>
        </w:numPr>
        <w:spacing w:line="240" w:lineRule="auto"/>
        <w:ind w:left="792" w:hanging="432"/>
        <w:jc w:val="both"/>
        <w:rPr/>
      </w:pPr>
      <w:bookmarkStart w:colFirst="0" w:colLast="0" w:name="_3ygvg8vv8ltj"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2"/>
        <w:keepNext w:val="0"/>
        <w:keepLines w:val="0"/>
        <w:numPr>
          <w:ilvl w:val="1"/>
          <w:numId w:val="1"/>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A">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B">
      <w:pPr>
        <w:pStyle w:val="Heading2"/>
        <w:keepNext w:val="0"/>
        <w:keepLines w:val="0"/>
        <w:numPr>
          <w:ilvl w:val="2"/>
          <w:numId w:val="1"/>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C">
      <w:pPr>
        <w:pStyle w:val="Heading2"/>
        <w:keepNext w:val="0"/>
        <w:keepLines w:val="0"/>
        <w:numPr>
          <w:ilvl w:val="1"/>
          <w:numId w:val="1"/>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D">
      <w:pPr>
        <w:pStyle w:val="Heading2"/>
        <w:keepNext w:val="0"/>
        <w:keepLines w:val="0"/>
        <w:numPr>
          <w:ilvl w:val="2"/>
          <w:numId w:val="1"/>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2F">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0">
      <w:pPr>
        <w:pStyle w:val="Heading2"/>
        <w:keepNext w:val="0"/>
        <w:keepLines w:val="0"/>
        <w:numPr>
          <w:ilvl w:val="1"/>
          <w:numId w:val="1"/>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1">
      <w:pPr>
        <w:pStyle w:val="Heading2"/>
        <w:keepNext w:val="0"/>
        <w:keepLines w:val="0"/>
        <w:numPr>
          <w:ilvl w:val="2"/>
          <w:numId w:val="1"/>
        </w:numPr>
        <w:spacing w:after="240" w:before="0" w:line="240" w:lineRule="auto"/>
        <w:ind w:left="1418" w:hanging="698"/>
        <w:jc w:val="both"/>
        <w:rPr/>
      </w:pPr>
      <w:bookmarkStart w:colFirst="0" w:colLast="0" w:name="_cn3de594gyer"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pPr>
      <w:bookmarkStart w:colFirst="0" w:colLast="0" w:name="_3900t7n98jr1"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pPr>
      <w:bookmarkStart w:colFirst="0" w:colLast="0" w:name="_6fk47u4a2bte"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4">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7">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8">
      <w:pPr>
        <w:pStyle w:val="Heading2"/>
        <w:keepNext w:val="0"/>
        <w:keepLines w:val="0"/>
        <w:numPr>
          <w:ilvl w:val="1"/>
          <w:numId w:val="1"/>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B">
      <w:pPr>
        <w:pStyle w:val="Heading2"/>
        <w:keepNext w:val="0"/>
        <w:keepLines w:val="0"/>
        <w:numPr>
          <w:ilvl w:val="1"/>
          <w:numId w:val="1"/>
        </w:numPr>
        <w:spacing w:after="240" w:line="240" w:lineRule="auto"/>
        <w:ind w:left="792" w:hanging="432"/>
        <w:jc w:val="both"/>
        <w:rPr/>
      </w:pPr>
      <w:bookmarkStart w:colFirst="0" w:colLast="0" w:name="_4ki2hhdz6ur5"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pPr>
      <w:bookmarkStart w:colFirst="0" w:colLast="0" w:name="_d0txxfovvdhm"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pPr>
      <w:bookmarkStart w:colFirst="0" w:colLast="0" w:name="_xcyznxc7zdf1"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pPr>
      <w:bookmarkStart w:colFirst="0" w:colLast="0" w:name="_u1z2uf4gy0f7"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3F">
      <w:pPr>
        <w:pStyle w:val="Heading2"/>
        <w:keepNext w:val="0"/>
        <w:keepLines w:val="0"/>
        <w:numPr>
          <w:ilvl w:val="2"/>
          <w:numId w:val="1"/>
        </w:numPr>
        <w:spacing w:after="240" w:before="0" w:line="240" w:lineRule="auto"/>
        <w:ind w:left="1418" w:hanging="698"/>
        <w:jc w:val="both"/>
        <w:rPr/>
      </w:pPr>
      <w:bookmarkStart w:colFirst="0" w:colLast="0" w:name="_qaxzqto7i5nt"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pPr>
      <w:bookmarkStart w:colFirst="0" w:colLast="0" w:name="_q9zw0tr94yhf"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1">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3">
      <w:pPr>
        <w:pStyle w:val="Heading2"/>
        <w:keepNext w:val="0"/>
        <w:keepLines w:val="0"/>
        <w:numPr>
          <w:ilvl w:val="1"/>
          <w:numId w:val="1"/>
        </w:numPr>
        <w:spacing w:after="240" w:line="240" w:lineRule="auto"/>
        <w:ind w:left="792" w:hanging="432"/>
        <w:jc w:val="both"/>
        <w:rPr/>
      </w:pPr>
      <w:bookmarkStart w:colFirst="0" w:colLast="0" w:name="_2obstppnb4a4"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pPr>
      <w:bookmarkStart w:colFirst="0" w:colLast="0" w:name="_dvpozkr81kwu"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7">
      <w:pPr>
        <w:pStyle w:val="Heading2"/>
        <w:keepNext w:val="0"/>
        <w:keepLines w:val="0"/>
        <w:numPr>
          <w:ilvl w:val="2"/>
          <w:numId w:val="1"/>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A">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B">
      <w:pPr>
        <w:pStyle w:val="Heading2"/>
        <w:keepNext w:val="0"/>
        <w:keepLines w:val="0"/>
        <w:numPr>
          <w:ilvl w:val="1"/>
          <w:numId w:val="1"/>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C">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4a6lr192s4y1"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D">
      <w:pPr>
        <w:pStyle w:val="Heading2"/>
        <w:keepNext w:val="0"/>
        <w:keepLines w:val="0"/>
        <w:numPr>
          <w:ilvl w:val="1"/>
          <w:numId w:val="1"/>
        </w:numPr>
        <w:spacing w:after="240" w:line="240" w:lineRule="auto"/>
        <w:ind w:left="792" w:hanging="432"/>
        <w:jc w:val="both"/>
        <w:rPr/>
      </w:pPr>
      <w:bookmarkStart w:colFirst="0" w:colLast="0" w:name="_ecu1ejpzutz4"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pPr>
      <w:bookmarkStart w:colFirst="0" w:colLast="0" w:name="_b9vasc4vplh"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pPr>
      <w:bookmarkStart w:colFirst="0" w:colLast="0" w:name="_8vj9ven7jcdg"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1">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2">
      <w:pPr>
        <w:pStyle w:val="Heading2"/>
        <w:keepNext w:val="0"/>
        <w:keepLines w:val="0"/>
        <w:numPr>
          <w:ilvl w:val="1"/>
          <w:numId w:val="1"/>
        </w:numPr>
        <w:spacing w:after="240" w:line="240" w:lineRule="auto"/>
        <w:ind w:left="792" w:hanging="432"/>
        <w:jc w:val="both"/>
        <w:rPr/>
      </w:pPr>
      <w:bookmarkStart w:colFirst="0" w:colLast="0" w:name="_nsm9zyk14how"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3">
      <w:pPr>
        <w:pStyle w:val="Heading2"/>
        <w:keepNext w:val="0"/>
        <w:keepLines w:val="0"/>
        <w:numPr>
          <w:ilvl w:val="2"/>
          <w:numId w:val="1"/>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4">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8">
      <w:pPr>
        <w:pStyle w:val="Heading2"/>
        <w:keepNext w:val="0"/>
        <w:keepLines w:val="0"/>
        <w:numPr>
          <w:ilvl w:val="1"/>
          <w:numId w:val="1"/>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9">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sz w:val="24"/>
          <w:szCs w:val="24"/>
        </w:rPr>
      </w:pPr>
      <w:bookmarkStart w:colFirst="0" w:colLast="0" w:name="_f3xtb4my5kng"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A">
      <w:pPr>
        <w:pStyle w:val="Heading2"/>
        <w:keepNext w:val="0"/>
        <w:keepLines w:val="0"/>
        <w:numPr>
          <w:ilvl w:val="1"/>
          <w:numId w:val="1"/>
        </w:numPr>
        <w:spacing w:after="240" w:line="240" w:lineRule="auto"/>
        <w:ind w:left="851" w:hanging="709"/>
        <w:jc w:val="both"/>
        <w:rPr/>
      </w:pPr>
      <w:bookmarkStart w:colFirst="0" w:colLast="0" w:name="_tx39hgjpkk2v"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0">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one (An in-scope entity or person)</w:t>
      </w:r>
      <w:r w:rsidDel="00000000" w:rsidR="00000000" w:rsidRPr="00000000">
        <w:rPr>
          <w:rtl w:val="0"/>
        </w:rPr>
      </w:r>
    </w:p>
    <w:p w:rsidR="00000000" w:rsidDel="00000000" w:rsidP="00000000" w:rsidRDefault="00000000" w:rsidRPr="00000000" w14:paraId="00000063">
      <w:pPr>
        <w:numPr>
          <w:ilvl w:val="0"/>
          <w:numId w:val="7"/>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a person or entity which is either: (“X”)</w:t>
      </w:r>
    </w:p>
    <w:p w:rsidR="00000000" w:rsidDel="00000000" w:rsidP="00000000" w:rsidRDefault="00000000" w:rsidRPr="00000000" w14:paraId="00000064">
      <w:pPr>
        <w:numPr>
          <w:ilvl w:val="0"/>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Economic Operator or Essential Subcontractor (EOS)</w:t>
      </w:r>
    </w:p>
    <w:p w:rsidR="00000000" w:rsidDel="00000000" w:rsidP="00000000" w:rsidRDefault="00000000" w:rsidRPr="00000000" w14:paraId="00000065">
      <w:pPr>
        <w:numPr>
          <w:ilvl w:val="0"/>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i w:val="1"/>
          <w:color w:val="000000"/>
          <w:sz w:val="24"/>
          <w:szCs w:val="24"/>
          <w:rtl w:val="0"/>
        </w:rPr>
        <w:t xml:space="preserve">IFRS 10 Consolidated Financial Accounts</w:t>
      </w:r>
      <w:r w:rsidDel="00000000" w:rsidR="00000000" w:rsidRPr="00000000">
        <w:rPr>
          <w:rFonts w:ascii="Arial" w:cs="Arial" w:eastAsia="Arial" w:hAnsi="Arial"/>
          <w:i w:val="1"/>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6">
      <w:pPr>
        <w:numPr>
          <w:ilvl w:val="0"/>
          <w:numId w:val="6"/>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8">
      <w:pPr>
        <w:numPr>
          <w:ilvl w:val="0"/>
          <w:numId w:val="7"/>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 has been engaged in one or more of the following:</w:t>
      </w:r>
    </w:p>
    <w:p w:rsidR="00000000" w:rsidDel="00000000" w:rsidP="00000000" w:rsidRDefault="00000000" w:rsidRPr="00000000" w14:paraId="00000069">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Fraudulent evasion</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A">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the General Anti-Abuse Rule</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B">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the Halifax Abuse principle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C">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Entered into arrangements caught by a DOTAS or VADR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D">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caught by a recognised ‘anti-avoidance rule’</w:t>
      </w:r>
      <w:r w:rsidDel="00000000" w:rsidR="00000000" w:rsidRPr="00000000">
        <w:rPr>
          <w:rFonts w:ascii="Arial" w:cs="Arial" w:eastAsia="Arial" w:hAnsi="Arial"/>
          <w:color w:val="000000"/>
          <w:sz w:val="24"/>
          <w:szCs w:val="24"/>
          <w:vertAlign w:val="superscript"/>
        </w:rPr>
        <w:footnoteReference w:customMarkFollows="0" w:id="5"/>
      </w:r>
      <w:r w:rsidDel="00000000" w:rsidR="00000000" w:rsidRPr="00000000">
        <w:rPr>
          <w:rFonts w:ascii="Arial" w:cs="Arial" w:eastAsia="Arial" w:hAnsi="Arial"/>
          <w:color w:val="000000"/>
          <w:sz w:val="24"/>
          <w:szCs w:val="24"/>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6E">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Entered into an avoidance scheme identified by HMRC’s published Spotlights list</w:t>
      </w:r>
      <w:r w:rsidDel="00000000" w:rsidR="00000000" w:rsidRPr="00000000">
        <w:rPr>
          <w:rFonts w:ascii="Arial" w:cs="Arial" w:eastAsia="Arial" w:hAnsi="Arial"/>
          <w:color w:val="000000"/>
          <w:sz w:val="24"/>
          <w:szCs w:val="24"/>
          <w:vertAlign w:val="superscript"/>
        </w:rPr>
        <w:footnoteReference w:customMarkFollows="0" w:id="6"/>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F">
      <w:pPr>
        <w:numPr>
          <w:ilvl w:val="1"/>
          <w:numId w:val="4"/>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Engaged in conduct which falls under rules in other jurisdictions which are equivalent or similar to (a) to (f) above.</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1">
      <w:pPr>
        <w:numPr>
          <w:ilvl w:val="0"/>
          <w:numId w:val="7"/>
        </w:numPr>
        <w:pBdr>
          <w:top w:space="0" w:sz="0" w:val="nil"/>
          <w:left w:space="0" w:sz="0" w:val="nil"/>
          <w:bottom w:space="0" w:sz="0" w:val="nil"/>
          <w:right w:space="0" w:sz="0" w:val="nil"/>
          <w:between w:space="0" w:sz="0" w:val="nil"/>
        </w:pBdr>
        <w:spacing w:after="24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X’s activity in </w:t>
      </w:r>
      <w:r w:rsidDel="00000000" w:rsidR="00000000" w:rsidRPr="00000000">
        <w:rPr>
          <w:rFonts w:ascii="Arial" w:cs="Arial" w:eastAsia="Arial" w:hAnsi="Arial"/>
          <w:i w:val="1"/>
          <w:color w:val="000000"/>
          <w:sz w:val="24"/>
          <w:szCs w:val="24"/>
          <w:rtl w:val="0"/>
        </w:rPr>
        <w:t xml:space="preserve">Condition 2</w:t>
      </w:r>
      <w:r w:rsidDel="00000000" w:rsidR="00000000" w:rsidRPr="00000000">
        <w:rPr>
          <w:rFonts w:ascii="Arial" w:cs="Arial" w:eastAsia="Arial" w:hAnsi="Arial"/>
          <w:color w:val="000000"/>
          <w:sz w:val="24"/>
          <w:szCs w:val="24"/>
          <w:rtl w:val="0"/>
        </w:rPr>
        <w:t xml:space="preserve"> is, where applicable, subject to dispute and/or litigation as follows:</w:t>
      </w:r>
    </w:p>
    <w:p w:rsidR="00000000" w:rsidDel="00000000" w:rsidP="00000000" w:rsidRDefault="00000000" w:rsidRPr="00000000" w14:paraId="00000072">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either X:</w:t>
      </w:r>
    </w:p>
    <w:p w:rsidR="00000000" w:rsidDel="00000000" w:rsidP="00000000" w:rsidRDefault="00000000" w:rsidRPr="00000000" w14:paraId="00000073">
      <w:pPr>
        <w:numPr>
          <w:ilvl w:val="2"/>
          <w:numId w:val="5"/>
        </w:numPr>
        <w:pBdr>
          <w:top w:space="0" w:sz="0" w:val="nil"/>
          <w:left w:space="0" w:sz="0" w:val="nil"/>
          <w:bottom w:space="0" w:sz="0" w:val="nil"/>
          <w:right w:space="0" w:sz="0" w:val="nil"/>
          <w:between w:space="0" w:sz="0" w:val="nil"/>
        </w:pBdr>
        <w:spacing w:after="24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color w:val="000000"/>
          <w:sz w:val="24"/>
          <w:szCs w:val="24"/>
          <w:vertAlign w:val="superscript"/>
        </w:rPr>
        <w:footnoteReference w:customMarkFollows="0" w:id="7"/>
      </w:r>
      <w:r w:rsidDel="00000000" w:rsidR="00000000" w:rsidRPr="00000000">
        <w:rPr>
          <w:rFonts w:ascii="Arial" w:cs="Arial" w:eastAsia="Arial" w:hAnsi="Arial"/>
          <w:color w:val="000000"/>
          <w:sz w:val="24"/>
          <w:szCs w:val="24"/>
          <w:rtl w:val="0"/>
        </w:rPr>
        <w:t xml:space="preserve">; or,</w:t>
      </w:r>
    </w:p>
    <w:p w:rsidR="00000000" w:rsidDel="00000000" w:rsidP="00000000" w:rsidRDefault="00000000" w:rsidRPr="00000000" w14:paraId="00000074">
      <w:pPr>
        <w:numPr>
          <w:ilvl w:val="2"/>
          <w:numId w:val="5"/>
        </w:numPr>
        <w:pBdr>
          <w:top w:space="0" w:sz="0" w:val="nil"/>
          <w:left w:space="0" w:sz="0" w:val="nil"/>
          <w:bottom w:space="0" w:sz="0" w:val="nil"/>
          <w:right w:space="0" w:sz="0" w:val="nil"/>
          <w:between w:space="0" w:sz="0" w:val="nil"/>
        </w:pBdr>
        <w:spacing w:after="240" w:line="240" w:lineRule="auto"/>
        <w:ind w:left="1418"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charged with an offence of fraudulent evasion. </w:t>
      </w:r>
    </w:p>
    <w:p w:rsidR="00000000" w:rsidDel="00000000" w:rsidP="00000000" w:rsidRDefault="00000000" w:rsidRPr="00000000" w14:paraId="00000075">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6">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7">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(f) this condition is satisfied without any further steps being taken.</w:t>
      </w:r>
    </w:p>
    <w:p w:rsidR="00000000" w:rsidDel="00000000" w:rsidP="00000000" w:rsidRDefault="00000000" w:rsidRPr="00000000" w14:paraId="00000078">
      <w:pPr>
        <w:numPr>
          <w:ilvl w:val="1"/>
          <w:numId w:val="5"/>
        </w:numPr>
        <w:pBdr>
          <w:top w:space="0" w:sz="0" w:val="nil"/>
          <w:left w:space="0" w:sz="0" w:val="nil"/>
          <w:bottom w:space="0" w:sz="0" w:val="nil"/>
          <w:right w:space="0" w:sz="0" w:val="nil"/>
          <w:between w:space="0" w:sz="0" w:val="nil"/>
        </w:pBdr>
        <w:spacing w:after="240" w:line="240" w:lineRule="auto"/>
        <w:ind w:left="709"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(g) the foreign equivalent to each of the corresponding steps set out above in (i) to (iii).</w:t>
      </w:r>
    </w:p>
    <w:p w:rsidR="00000000" w:rsidDel="00000000" w:rsidP="00000000" w:rsidRDefault="00000000" w:rsidRPr="00000000" w14:paraId="00000079">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7A">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B">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7C">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7D">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7E">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7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spacing w:after="0" w:line="240"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spacing w:after="0" w:line="240" w:lineRule="auto"/>
        <w:ind w:left="426" w:hanging="42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40" w:line="240" w:lineRule="auto"/>
        <w:ind w:left="426" w:firstLine="0"/>
        <w:jc w:val="both"/>
        <w:rPr>
          <w:rFonts w:ascii="Arial" w:cs="Arial" w:eastAsia="Arial" w:hAnsi="Arial"/>
          <w:color w:val="000000"/>
          <w:sz w:val="24"/>
          <w:szCs w:val="24"/>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3">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4">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5">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6">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7">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8">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spacing w:after="240" w:line="240" w:lineRule="auto"/>
        <w:jc w:val="right"/>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Framework Ref: RM6289 Provision of Power Purchase Agreement</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Model Version: v1.0</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t>
      </w:r>
      <w:hyperlink r:id="rId1">
        <w:r w:rsidDel="00000000" w:rsidR="00000000" w:rsidRPr="00000000">
          <w:rPr>
            <w:color w:val="0000ff"/>
            <w:sz w:val="20"/>
            <w:szCs w:val="20"/>
            <w:u w:val="single"/>
            <w:rtl w:val="0"/>
          </w:rPr>
          <w:t xml:space="preserve">https://www.iasplus.com/en/standards/ifrs/ifrs10</w:t>
        </w:r>
      </w:hyperlink>
      <w:r w:rsidDel="00000000" w:rsidR="00000000" w:rsidRPr="00000000">
        <w:rPr>
          <w:color w:val="000000"/>
          <w:sz w:val="20"/>
          <w:szCs w:val="20"/>
          <w:rtl w:val="0"/>
        </w:rPr>
        <w:t xml:space="preserve"> </w:t>
      </w:r>
    </w:p>
  </w:footnote>
  <w:footnote w:id="1">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“General Anti-Abuse Rule” means (a) the legislation in Part 5 of the Finance Act 2013; and (b) any</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color w:val="000000"/>
          <w:sz w:val="20"/>
          <w:szCs w:val="20"/>
          <w:rtl w:val="0"/>
        </w:rPr>
        <w:t xml:space="preserve">future legislation introduced into Parliament to counteract tax advantages arising from abusive</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color w:val="000000"/>
          <w:sz w:val="20"/>
          <w:szCs w:val="20"/>
          <w:rtl w:val="0"/>
        </w:rPr>
        <w:t xml:space="preserve">arrangements to avoid national insurance contributions</w:t>
      </w:r>
    </w:p>
  </w:footnote>
  <w:footnote w:id="3">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“Halifax Abuse Principle” means the principle explained in the CJEU Case C-255/02 Halifax and others</w:t>
      </w:r>
    </w:p>
  </w:footnote>
  <w:footnote w:id="4">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Targeted list of tax avoidance schemes that HMRC believes are being used to avoid paying tax due and which are listed on the Spotlight website: </w:t>
      </w:r>
      <w:hyperlink r:id="rId2">
        <w:r w:rsidDel="00000000" w:rsidR="00000000" w:rsidRPr="00000000">
          <w:rPr>
            <w:color w:val="0000ff"/>
            <w:sz w:val="20"/>
            <w:szCs w:val="20"/>
            <w:u w:val="single"/>
            <w:rtl w:val="0"/>
          </w:rPr>
          <w:t xml:space="preserve">https://www.gov.uk/government/collections/tax-avoidance-schemes-currently-in-the-spotlight</w:t>
        </w:r>
      </w:hyperlink>
      <w:r w:rsidDel="00000000" w:rsidR="00000000" w:rsidRPr="00000000">
        <w:rPr>
          <w:color w:val="000000"/>
          <w:sz w:val="20"/>
          <w:szCs w:val="20"/>
          <w:rtl w:val="0"/>
        </w:rPr>
        <w:t xml:space="preserve">  </w:t>
      </w:r>
    </w:p>
  </w:footnote>
  <w:footnote w:id="7">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jc w:val="both"/>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tabs>
        <w:tab w:val="center" w:leader="none" w:pos="4153"/>
        <w:tab w:val="right" w:leader="none" w:pos="8306"/>
      </w:tabs>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23 (HMRC Terms)</w:t>
    </w:r>
    <w:r w:rsidDel="00000000" w:rsidR="00000000" w:rsidRPr="00000000">
      <w:rPr>
        <w:rtl w:val="0"/>
      </w:rPr>
    </w:r>
  </w:p>
  <w:p w:rsidR="00000000" w:rsidDel="00000000" w:rsidP="00000000" w:rsidRDefault="00000000" w:rsidRPr="00000000" w14:paraId="00000097">
    <w:pPr>
      <w:tabs>
        <w:tab w:val="center" w:leader="none" w:pos="4153"/>
        <w:tab w:val="right" w:leader="none" w:pos="830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8">
    <w:pPr>
      <w:tabs>
        <w:tab w:val="center" w:leader="none" w:pos="4153"/>
        <w:tab w:val="right" w:leader="none" w:pos="8306"/>
      </w:tabs>
      <w:spacing w:after="0" w:line="240" w:lineRule="auto"/>
      <w:rPr/>
    </w:pPr>
    <w:r w:rsidDel="00000000" w:rsidR="00000000" w:rsidRPr="00000000">
      <w:rPr>
        <w:rFonts w:ascii="Arial" w:cs="Arial" w:eastAsia="Arial" w:hAnsi="Arial"/>
        <w:sz w:val="20"/>
        <w:szCs w:val="20"/>
        <w:rtl w:val="0"/>
      </w:rPr>
      <w:t xml:space="preserve">Crown Copyright 2024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
      </w:pPr>
      <w:rPr>
        <w:color w:val="000000"/>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iManageFooter">
    <vt:lpwstr>#109517328v2&lt;L_LIVE_EMEA1&gt; - PPA v3.0 (Call-Off Schedule 23 - HMRC Terms)</vt:lpwstr>
  </property>
</Properties>
</file>